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F2B38" w:rsidRPr="00BF2B38">
        <w:t>R4-2107315</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726728">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37DA" w:rsidRPr="007937DA">
        <w:rPr>
          <w:rFonts w:ascii="Arial" w:hAnsi="Arial" w:cs="Arial"/>
          <w:sz w:val="22"/>
        </w:rPr>
        <w:t>On power class for NR band in PC2 inter-band CA</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F2B38">
        <w:rPr>
          <w:rFonts w:ascii="Arial" w:hAnsi="Arial" w:cs="Arial"/>
          <w:sz w:val="22"/>
        </w:rPr>
        <w:t>7.20.2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73060D" w:rsidRDefault="0073060D" w:rsidP="009A089A">
      <w:r w:rsidRPr="00954951">
        <w:rPr>
          <w:rFonts w:hint="eastAsia"/>
        </w:rPr>
        <w:t>WI of p</w:t>
      </w:r>
      <w:r>
        <w:t xml:space="preserve">ower </w:t>
      </w:r>
      <w:r w:rsidRPr="00954951">
        <w:rPr>
          <w:rFonts w:hint="eastAsia"/>
        </w:rPr>
        <w:t>c</w:t>
      </w:r>
      <w:r>
        <w:t>lass 2 UE for NR inter-band CA and SUL configurations with 2 bands UL</w:t>
      </w:r>
      <w:r w:rsidRPr="00954951">
        <w:rPr>
          <w:rFonts w:hint="eastAsia"/>
        </w:rPr>
        <w:t xml:space="preserve"> was approved in RAN#88-e meeting</w:t>
      </w:r>
      <w:r>
        <w:t xml:space="preserve">, and later on it was split to two WIs, one is to address SAR issue, the other one is for PC2 band combinations. </w:t>
      </w:r>
    </w:p>
    <w:p w:rsidR="009A089A" w:rsidRDefault="005369EE" w:rsidP="009A089A">
      <w:r>
        <w:t>This contribution provides our consideration on</w:t>
      </w:r>
      <w:r w:rsidR="0073060D">
        <w:t xml:space="preserve"> </w:t>
      </w:r>
      <w:r w:rsidR="0073060D" w:rsidRPr="0073060D">
        <w:t>power class for NR band in PC2 inter-band CA</w:t>
      </w:r>
      <w:r w:rsidR="0073060D">
        <w:t xml:space="preserve"> for the band combination WI</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0A0DD7" w:rsidRDefault="0073060D" w:rsidP="000A0DD7">
      <w:r>
        <w:t>In the WID, power configurations are clearly described for the PC2 inter-band CA.</w:t>
      </w:r>
    </w:p>
    <w:tbl>
      <w:tblPr>
        <w:tblStyle w:val="TableGrid"/>
        <w:tblW w:w="0" w:type="auto"/>
        <w:tblLook w:val="04A0" w:firstRow="1" w:lastRow="0" w:firstColumn="1" w:lastColumn="0" w:noHBand="0" w:noVBand="1"/>
      </w:tblPr>
      <w:tblGrid>
        <w:gridCol w:w="9631"/>
      </w:tblGrid>
      <w:tr w:rsidR="000A0DD7" w:rsidTr="000A0DD7">
        <w:tc>
          <w:tcPr>
            <w:tcW w:w="9631" w:type="dxa"/>
          </w:tcPr>
          <w:p w:rsidR="000A0DD7" w:rsidRPr="00A97C81" w:rsidRDefault="000A0DD7" w:rsidP="000A0DD7">
            <w:pPr>
              <w:numPr>
                <w:ilvl w:val="2"/>
                <w:numId w:val="43"/>
              </w:numPr>
              <w:ind w:left="1316"/>
            </w:pPr>
            <w:r w:rsidRPr="00A97C81">
              <w:rPr>
                <w:rFonts w:hint="eastAsia"/>
              </w:rPr>
              <w:t>The power configuration</w:t>
            </w:r>
            <w:r w:rsidRPr="00A97C81">
              <w:t>s</w:t>
            </w:r>
            <w:r w:rsidRPr="00A97C81">
              <w:rPr>
                <w:rFonts w:hint="eastAsia"/>
              </w:rPr>
              <w:t xml:space="preserve"> </w:t>
            </w:r>
            <w:r w:rsidRPr="00A97C81">
              <w:t>includ</w:t>
            </w:r>
            <w:r w:rsidRPr="00A97C81">
              <w:rPr>
                <w:rFonts w:hint="eastAsia"/>
              </w:rPr>
              <w:t>e cases as shown below</w:t>
            </w: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061"/>
              <w:gridCol w:w="2078"/>
              <w:gridCol w:w="2078"/>
            </w:tblGrid>
            <w:tr w:rsidR="000A0DD7" w:rsidRPr="00A97C81" w:rsidTr="00D85D8C">
              <w:tc>
                <w:tcPr>
                  <w:tcW w:w="1974" w:type="dxa"/>
                  <w:shd w:val="clear" w:color="auto" w:fill="auto"/>
                </w:tcPr>
                <w:p w:rsidR="000A0DD7" w:rsidRPr="00A97C81" w:rsidRDefault="000A0DD7" w:rsidP="000A0DD7"/>
              </w:tc>
              <w:tc>
                <w:tcPr>
                  <w:tcW w:w="2061" w:type="dxa"/>
                  <w:shd w:val="clear" w:color="auto" w:fill="auto"/>
                </w:tcPr>
                <w:p w:rsidR="000A0DD7" w:rsidRPr="00A97C81" w:rsidRDefault="000A0DD7" w:rsidP="000A0DD7">
                  <w:r w:rsidRPr="00A97C81">
                    <w:t xml:space="preserve">UE </w:t>
                  </w:r>
                  <w:r w:rsidRPr="00A97C81">
                    <w:rPr>
                      <w:rFonts w:hint="eastAsia"/>
                    </w:rPr>
                    <w:t>power class</w:t>
                  </w:r>
                </w:p>
              </w:tc>
              <w:tc>
                <w:tcPr>
                  <w:tcW w:w="2078" w:type="dxa"/>
                  <w:shd w:val="clear" w:color="auto" w:fill="auto"/>
                </w:tcPr>
                <w:p w:rsidR="000A0DD7" w:rsidRPr="00A97C81" w:rsidRDefault="000A0DD7" w:rsidP="000A0DD7">
                  <w:r w:rsidRPr="00A97C81">
                    <w:rPr>
                      <w:rFonts w:hint="eastAsia"/>
                    </w:rPr>
                    <w:t>NR Carrier x power class</w:t>
                  </w:r>
                </w:p>
              </w:tc>
              <w:tc>
                <w:tcPr>
                  <w:tcW w:w="2078" w:type="dxa"/>
                  <w:shd w:val="clear" w:color="auto" w:fill="auto"/>
                </w:tcPr>
                <w:p w:rsidR="000A0DD7" w:rsidRPr="00A97C81" w:rsidRDefault="000A0DD7" w:rsidP="000A0DD7">
                  <w:r w:rsidRPr="00A97C81">
                    <w:rPr>
                      <w:rFonts w:hint="eastAsia"/>
                    </w:rPr>
                    <w:t>NR Carrier y power class</w:t>
                  </w:r>
                </w:p>
              </w:tc>
            </w:tr>
            <w:tr w:rsidR="000A0DD7" w:rsidRPr="00A97C81" w:rsidTr="00D85D8C">
              <w:tc>
                <w:tcPr>
                  <w:tcW w:w="1974" w:type="dxa"/>
                  <w:shd w:val="clear" w:color="auto" w:fill="auto"/>
                </w:tcPr>
                <w:p w:rsidR="000A0DD7" w:rsidRPr="00A97C81" w:rsidRDefault="000A0DD7" w:rsidP="000A0DD7">
                  <w:r w:rsidRPr="00A97C81">
                    <w:rPr>
                      <w:rFonts w:hint="eastAsia"/>
                    </w:rPr>
                    <w:t>Ca</w:t>
                  </w:r>
                  <w:r w:rsidRPr="00A97C81">
                    <w:t xml:space="preserve">se </w:t>
                  </w:r>
                  <w:r w:rsidRPr="00A97C81">
                    <w:rPr>
                      <w:rFonts w:hint="eastAsia"/>
                    </w:rPr>
                    <w:t>a</w:t>
                  </w:r>
                </w:p>
              </w:tc>
              <w:tc>
                <w:tcPr>
                  <w:tcW w:w="2061" w:type="dxa"/>
                  <w:shd w:val="clear" w:color="auto" w:fill="auto"/>
                </w:tcPr>
                <w:p w:rsidR="000A0DD7" w:rsidRPr="00A97C81" w:rsidRDefault="000A0DD7" w:rsidP="000A0DD7">
                  <w:r w:rsidRPr="00A97C81">
                    <w:rPr>
                      <w:rFonts w:hint="eastAsia"/>
                    </w:rPr>
                    <w:t>26dBm</w:t>
                  </w:r>
                </w:p>
              </w:tc>
              <w:tc>
                <w:tcPr>
                  <w:tcW w:w="2078" w:type="dxa"/>
                  <w:shd w:val="clear" w:color="auto" w:fill="auto"/>
                </w:tcPr>
                <w:p w:rsidR="000A0DD7" w:rsidRPr="00A97C81" w:rsidRDefault="000A0DD7" w:rsidP="000A0DD7">
                  <w:r w:rsidRPr="00A97C81">
                    <w:rPr>
                      <w:rFonts w:hint="eastAsia"/>
                    </w:rPr>
                    <w:t>23dBm</w:t>
                  </w:r>
                </w:p>
              </w:tc>
              <w:tc>
                <w:tcPr>
                  <w:tcW w:w="2078" w:type="dxa"/>
                  <w:shd w:val="clear" w:color="auto" w:fill="auto"/>
                </w:tcPr>
                <w:p w:rsidR="000A0DD7" w:rsidRPr="00A97C81" w:rsidRDefault="000A0DD7" w:rsidP="000A0DD7">
                  <w:r w:rsidRPr="00A97C81">
                    <w:rPr>
                      <w:rFonts w:hint="eastAsia"/>
                    </w:rPr>
                    <w:t>23dBm</w:t>
                  </w:r>
                </w:p>
              </w:tc>
            </w:tr>
            <w:tr w:rsidR="000A0DD7" w:rsidRPr="00A97C81" w:rsidTr="00D85D8C">
              <w:tc>
                <w:tcPr>
                  <w:tcW w:w="1974" w:type="dxa"/>
                  <w:shd w:val="clear" w:color="auto" w:fill="auto"/>
                </w:tcPr>
                <w:p w:rsidR="000A0DD7" w:rsidRPr="00A97C81" w:rsidRDefault="000A0DD7" w:rsidP="000A0DD7">
                  <w:r w:rsidRPr="00A97C81">
                    <w:rPr>
                      <w:rFonts w:hint="eastAsia"/>
                    </w:rPr>
                    <w:t>Case b</w:t>
                  </w:r>
                </w:p>
              </w:tc>
              <w:tc>
                <w:tcPr>
                  <w:tcW w:w="2061" w:type="dxa"/>
                  <w:shd w:val="clear" w:color="auto" w:fill="auto"/>
                </w:tcPr>
                <w:p w:rsidR="000A0DD7" w:rsidRPr="00A97C81" w:rsidRDefault="000A0DD7" w:rsidP="000A0DD7">
                  <w:r w:rsidRPr="00A97C81">
                    <w:rPr>
                      <w:rFonts w:hint="eastAsia"/>
                    </w:rPr>
                    <w:t>26dBm</w:t>
                  </w:r>
                </w:p>
              </w:tc>
              <w:tc>
                <w:tcPr>
                  <w:tcW w:w="2078" w:type="dxa"/>
                  <w:shd w:val="clear" w:color="auto" w:fill="auto"/>
                </w:tcPr>
                <w:p w:rsidR="000A0DD7" w:rsidRPr="00A97C81" w:rsidRDefault="000A0DD7" w:rsidP="000A0DD7">
                  <w:r w:rsidRPr="00A97C81">
                    <w:rPr>
                      <w:rFonts w:hint="eastAsia"/>
                    </w:rPr>
                    <w:t>23dBm</w:t>
                  </w:r>
                </w:p>
              </w:tc>
              <w:tc>
                <w:tcPr>
                  <w:tcW w:w="2078" w:type="dxa"/>
                  <w:shd w:val="clear" w:color="auto" w:fill="auto"/>
                </w:tcPr>
                <w:p w:rsidR="000A0DD7" w:rsidRPr="00A97C81" w:rsidRDefault="000A0DD7" w:rsidP="000A0DD7">
                  <w:r w:rsidRPr="00A97C81">
                    <w:rPr>
                      <w:rFonts w:hint="eastAsia"/>
                    </w:rPr>
                    <w:t>26dBm</w:t>
                  </w:r>
                </w:p>
              </w:tc>
            </w:tr>
            <w:tr w:rsidR="000A0DD7" w:rsidRPr="00A97C81" w:rsidTr="00D85D8C">
              <w:tc>
                <w:tcPr>
                  <w:tcW w:w="1974" w:type="dxa"/>
                  <w:shd w:val="clear" w:color="auto" w:fill="auto"/>
                </w:tcPr>
                <w:p w:rsidR="000A0DD7" w:rsidRPr="00A97C81" w:rsidRDefault="000A0DD7" w:rsidP="000A0DD7">
                  <w:pPr>
                    <w:rPr>
                      <w:rFonts w:hint="eastAsia"/>
                    </w:rPr>
                  </w:pPr>
                  <w:r w:rsidRPr="001D1B2B">
                    <w:t>Case c</w:t>
                  </w:r>
                </w:p>
              </w:tc>
              <w:tc>
                <w:tcPr>
                  <w:tcW w:w="2061" w:type="dxa"/>
                  <w:shd w:val="clear" w:color="auto" w:fill="auto"/>
                </w:tcPr>
                <w:p w:rsidR="000A0DD7" w:rsidRPr="001D1B2B" w:rsidRDefault="000A0DD7" w:rsidP="000A0DD7">
                  <w:pPr>
                    <w:rPr>
                      <w:rFonts w:hint="eastAsia"/>
                    </w:rPr>
                  </w:pPr>
                  <w:r w:rsidRPr="001D1B2B">
                    <w:t>26dBm</w:t>
                  </w:r>
                </w:p>
              </w:tc>
              <w:tc>
                <w:tcPr>
                  <w:tcW w:w="2078" w:type="dxa"/>
                  <w:shd w:val="clear" w:color="auto" w:fill="auto"/>
                </w:tcPr>
                <w:p w:rsidR="000A0DD7" w:rsidRPr="001D1B2B" w:rsidRDefault="000A0DD7" w:rsidP="000A0DD7">
                  <w:pPr>
                    <w:rPr>
                      <w:rFonts w:hint="eastAsia"/>
                    </w:rPr>
                  </w:pPr>
                  <w:r w:rsidRPr="001D1B2B">
                    <w:t>26dBm</w:t>
                  </w:r>
                </w:p>
              </w:tc>
              <w:tc>
                <w:tcPr>
                  <w:tcW w:w="2078" w:type="dxa"/>
                  <w:shd w:val="clear" w:color="auto" w:fill="auto"/>
                </w:tcPr>
                <w:p w:rsidR="000A0DD7" w:rsidRPr="001D1B2B" w:rsidRDefault="000A0DD7" w:rsidP="000A0DD7">
                  <w:pPr>
                    <w:rPr>
                      <w:rFonts w:hint="eastAsia"/>
                    </w:rPr>
                  </w:pPr>
                  <w:r w:rsidRPr="001D1B2B">
                    <w:t>26dBm</w:t>
                  </w:r>
                </w:p>
              </w:tc>
            </w:tr>
          </w:tbl>
          <w:p w:rsidR="000A0DD7" w:rsidRDefault="000A0DD7" w:rsidP="000A0DD7">
            <w:pPr>
              <w:numPr>
                <w:ilvl w:val="0"/>
                <w:numId w:val="44"/>
              </w:numPr>
              <w:spacing w:beforeLines="50" w:before="120"/>
              <w:ind w:left="1283" w:hanging="147"/>
              <w:rPr>
                <w:rFonts w:hint="eastAsia"/>
              </w:rPr>
            </w:pPr>
            <w:r>
              <w:rPr>
                <w:rFonts w:hint="eastAsia"/>
              </w:rPr>
              <w:t xml:space="preserve">For case </w:t>
            </w:r>
            <w:proofErr w:type="gramStart"/>
            <w:r>
              <w:rPr>
                <w:rFonts w:hint="eastAsia"/>
              </w:rPr>
              <w:t>a and</w:t>
            </w:r>
            <w:proofErr w:type="gramEnd"/>
            <w:r>
              <w:rPr>
                <w:rFonts w:hint="eastAsia"/>
              </w:rPr>
              <w:t xml:space="preserve"> case b, there are two scenarios including </w:t>
            </w:r>
            <w:r w:rsidRPr="00786839">
              <w:t>FDD</w:t>
            </w:r>
            <w:r>
              <w:rPr>
                <w:rFonts w:hint="eastAsia"/>
              </w:rPr>
              <w:t xml:space="preserve"> </w:t>
            </w:r>
            <w:r w:rsidRPr="00786839">
              <w:t>+TDD</w:t>
            </w:r>
            <w:r>
              <w:rPr>
                <w:rFonts w:hint="eastAsia"/>
              </w:rPr>
              <w:t xml:space="preserve"> (carrier x + carrier y)</w:t>
            </w:r>
            <w:r w:rsidRPr="00786839">
              <w:t xml:space="preserve"> and TDD</w:t>
            </w:r>
            <w:r>
              <w:rPr>
                <w:rFonts w:hint="eastAsia"/>
              </w:rPr>
              <w:t xml:space="preserve"> </w:t>
            </w:r>
            <w:r w:rsidRPr="00786839">
              <w:t>+TDD</w:t>
            </w:r>
            <w:r>
              <w:rPr>
                <w:rFonts w:hint="eastAsia"/>
              </w:rPr>
              <w:t xml:space="preserve"> (carrier x + carrier y)</w:t>
            </w:r>
            <w:r w:rsidRPr="00786839">
              <w:t xml:space="preserve">, and the </w:t>
            </w:r>
            <w:r>
              <w:t>scenarios</w:t>
            </w:r>
            <w:r>
              <w:rPr>
                <w:rFonts w:hint="eastAsia"/>
              </w:rPr>
              <w:t xml:space="preserve"> </w:t>
            </w:r>
            <w:r w:rsidRPr="00786839">
              <w:t xml:space="preserve">for </w:t>
            </w:r>
            <w:bookmarkStart w:id="2" w:name="_Hlk44453470"/>
            <w:r w:rsidRPr="00786839">
              <w:t>FDD+TDD and TDD+TDD</w:t>
            </w:r>
            <w:bookmarkEnd w:id="2"/>
            <w:r w:rsidRPr="00786839">
              <w:t xml:space="preserve"> will be discussed </w:t>
            </w:r>
            <w:bookmarkStart w:id="3" w:name="_Hlk44453526"/>
            <w:r w:rsidRPr="00786839">
              <w:t>separately</w:t>
            </w:r>
            <w:bookmarkEnd w:id="3"/>
            <w:r>
              <w:rPr>
                <w:rFonts w:hint="eastAsia"/>
              </w:rPr>
              <w:t>.</w:t>
            </w:r>
          </w:p>
          <w:p w:rsidR="000A0DD7" w:rsidRDefault="000A0DD7" w:rsidP="000A0DD7">
            <w:pPr>
              <w:numPr>
                <w:ilvl w:val="0"/>
                <w:numId w:val="44"/>
              </w:numPr>
              <w:spacing w:beforeLines="50" w:before="120"/>
              <w:ind w:left="1556"/>
            </w:pPr>
            <w:r>
              <w:rPr>
                <w:rFonts w:hint="eastAsia"/>
              </w:rPr>
              <w:t xml:space="preserve">For case c, there is one </w:t>
            </w:r>
            <w:r>
              <w:t>scenario</w:t>
            </w:r>
            <w:r>
              <w:rPr>
                <w:rFonts w:hint="eastAsia"/>
              </w:rPr>
              <w:t xml:space="preserve"> including </w:t>
            </w:r>
            <w:r w:rsidRPr="00786839">
              <w:t>TDD</w:t>
            </w:r>
            <w:r>
              <w:rPr>
                <w:rFonts w:hint="eastAsia"/>
              </w:rPr>
              <w:t xml:space="preserve"> </w:t>
            </w:r>
            <w:r w:rsidRPr="00786839">
              <w:t>+TDD</w:t>
            </w:r>
            <w:r>
              <w:rPr>
                <w:rFonts w:hint="eastAsia"/>
              </w:rPr>
              <w:t xml:space="preserve"> (carrier x + carrier y).</w:t>
            </w:r>
          </w:p>
        </w:tc>
      </w:tr>
    </w:tbl>
    <w:p w:rsidR="007919E4" w:rsidRDefault="0073060D" w:rsidP="0073060D">
      <w:pPr>
        <w:spacing w:before="240"/>
      </w:pPr>
      <w:r>
        <w:t xml:space="preserve">From implementation point of view, though UE may support more than 2 </w:t>
      </w:r>
      <w:proofErr w:type="spellStart"/>
      <w:proofErr w:type="gramStart"/>
      <w:r>
        <w:t>Tx</w:t>
      </w:r>
      <w:proofErr w:type="spellEnd"/>
      <w:proofErr w:type="gramEnd"/>
      <w:r>
        <w:t xml:space="preserve">, but general assumption is UE just supports 2Tx. The cases for inter-band CA is similar as that for EN-DC, i.e. the </w:t>
      </w:r>
      <w:r w:rsidR="007919E4">
        <w:t xml:space="preserve">power class for NR band only could be different from that for the NR band in a band combination due to the implementation limitation. For instance, the power class for case a) above is PC2 for the CA band combination, </w:t>
      </w:r>
      <w:r w:rsidR="005634D5">
        <w:t xml:space="preserve">and </w:t>
      </w:r>
      <w:r w:rsidR="007919E4">
        <w:t xml:space="preserve">the power class for each NR band in the BC is PC3. However, the power class for NR band only could be PC2 and the implementation for the NR band could be 2x23dBm or 1x26dBm or 26+23dBm if </w:t>
      </w:r>
      <w:proofErr w:type="spellStart"/>
      <w:r w:rsidR="007919E4">
        <w:t>TxD</w:t>
      </w:r>
      <w:proofErr w:type="spellEnd"/>
      <w:r w:rsidR="007919E4">
        <w:t xml:space="preserve"> or UL MIMO is supported for the NR band. </w:t>
      </w:r>
      <w:r w:rsidR="005634D5">
        <w:t xml:space="preserve">Then for UE only support 2Tx simultaneous transmission, </w:t>
      </w:r>
      <w:r w:rsidR="00A47336">
        <w:t xml:space="preserve">1Tx with 23dBm could be utilized for 2x23dBm implementation. </w:t>
      </w:r>
      <w:r w:rsidR="005634D5">
        <w:t xml:space="preserve"> </w:t>
      </w:r>
    </w:p>
    <w:p w:rsidR="007919E4" w:rsidRDefault="007919E4" w:rsidP="007919E4">
      <w:r>
        <w:t>To address the power class issue for EN-DC, new UE power class for the NR part was introduced in Rel-16.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34D5" w:rsidRPr="005634D5" w:rsidTr="00D85D8C">
        <w:trPr>
          <w:cantSplit/>
          <w:tblHeader/>
        </w:trPr>
        <w:tc>
          <w:tcPr>
            <w:tcW w:w="6917" w:type="dxa"/>
          </w:tcPr>
          <w:p w:rsidR="005634D5" w:rsidRPr="005634D5" w:rsidRDefault="005634D5" w:rsidP="00D85D8C">
            <w:pPr>
              <w:pStyle w:val="TAL"/>
              <w:rPr>
                <w:b/>
                <w:i/>
              </w:rPr>
            </w:pPr>
            <w:r w:rsidRPr="005634D5">
              <w:rPr>
                <w:b/>
                <w:i/>
              </w:rPr>
              <w:t>powerClassNRPart-r16</w:t>
            </w:r>
          </w:p>
          <w:p w:rsidR="005634D5" w:rsidRPr="005634D5" w:rsidRDefault="005634D5" w:rsidP="00D85D8C">
            <w:pPr>
              <w:pStyle w:val="TAL"/>
              <w:rPr>
                <w:i/>
              </w:rPr>
            </w:pPr>
            <w:r w:rsidRPr="005634D5">
              <w:rPr>
                <w:i/>
              </w:rPr>
              <w:t>Indicates NR part power class the UE supports when operating according to this band combination.</w:t>
            </w:r>
          </w:p>
          <w:p w:rsidR="005634D5" w:rsidRPr="005634D5" w:rsidRDefault="005634D5" w:rsidP="00D85D8C">
            <w:pPr>
              <w:pStyle w:val="TAL"/>
              <w:rPr>
                <w:b/>
                <w:i/>
              </w:rPr>
            </w:pPr>
            <w:r w:rsidRPr="005634D5">
              <w:rPr>
                <w:i/>
              </w:rPr>
              <w:t>This</w:t>
            </w:r>
            <w:r w:rsidRPr="005634D5">
              <w:rPr>
                <w:i/>
                <w:lang w:eastAsia="en-GB"/>
              </w:rPr>
              <w:t xml:space="preserve"> field only applies for</w:t>
            </w:r>
            <w:r w:rsidRPr="005634D5">
              <w:rPr>
                <w:i/>
              </w:rPr>
              <w:t xml:space="preserve"> MR-DC BCs containing only single CC or intra-band CA in NR side in this release.</w:t>
            </w:r>
          </w:p>
        </w:tc>
        <w:tc>
          <w:tcPr>
            <w:tcW w:w="709" w:type="dxa"/>
          </w:tcPr>
          <w:p w:rsidR="005634D5" w:rsidRPr="005634D5" w:rsidRDefault="005634D5" w:rsidP="00D85D8C">
            <w:pPr>
              <w:pStyle w:val="TAL"/>
              <w:jc w:val="center"/>
              <w:rPr>
                <w:rFonts w:cs="Arial"/>
                <w:i/>
                <w:szCs w:val="18"/>
              </w:rPr>
            </w:pPr>
            <w:r w:rsidRPr="005634D5">
              <w:rPr>
                <w:rFonts w:cs="Arial"/>
                <w:i/>
                <w:szCs w:val="18"/>
              </w:rPr>
              <w:t>BC</w:t>
            </w:r>
          </w:p>
        </w:tc>
        <w:tc>
          <w:tcPr>
            <w:tcW w:w="567" w:type="dxa"/>
          </w:tcPr>
          <w:p w:rsidR="005634D5" w:rsidRPr="005634D5" w:rsidRDefault="005634D5" w:rsidP="00D85D8C">
            <w:pPr>
              <w:pStyle w:val="TAL"/>
              <w:jc w:val="center"/>
              <w:rPr>
                <w:rFonts w:cs="Arial"/>
                <w:i/>
                <w:szCs w:val="18"/>
              </w:rPr>
            </w:pPr>
            <w:r w:rsidRPr="005634D5">
              <w:rPr>
                <w:rFonts w:cs="Arial"/>
                <w:i/>
                <w:szCs w:val="18"/>
              </w:rPr>
              <w:t>No</w:t>
            </w:r>
          </w:p>
        </w:tc>
        <w:tc>
          <w:tcPr>
            <w:tcW w:w="709" w:type="dxa"/>
          </w:tcPr>
          <w:p w:rsidR="005634D5" w:rsidRPr="005634D5" w:rsidRDefault="005634D5" w:rsidP="00D85D8C">
            <w:pPr>
              <w:pStyle w:val="TAL"/>
              <w:jc w:val="center"/>
              <w:rPr>
                <w:rFonts w:eastAsia="等线"/>
                <w:i/>
              </w:rPr>
            </w:pPr>
            <w:r w:rsidRPr="005634D5">
              <w:rPr>
                <w:rFonts w:cs="Arial"/>
                <w:i/>
                <w:szCs w:val="18"/>
              </w:rPr>
              <w:t>N/A</w:t>
            </w:r>
          </w:p>
        </w:tc>
        <w:tc>
          <w:tcPr>
            <w:tcW w:w="728" w:type="dxa"/>
          </w:tcPr>
          <w:p w:rsidR="005634D5" w:rsidRPr="005634D5" w:rsidRDefault="005634D5" w:rsidP="00D85D8C">
            <w:pPr>
              <w:pStyle w:val="TAL"/>
              <w:jc w:val="center"/>
              <w:rPr>
                <w:rFonts w:cs="Arial"/>
                <w:i/>
                <w:szCs w:val="18"/>
              </w:rPr>
            </w:pPr>
            <w:r w:rsidRPr="005634D5">
              <w:rPr>
                <w:rFonts w:cs="Arial"/>
                <w:i/>
                <w:szCs w:val="18"/>
              </w:rPr>
              <w:t>FR1 only</w:t>
            </w:r>
          </w:p>
        </w:tc>
      </w:tr>
    </w:tbl>
    <w:p w:rsidR="007919E4" w:rsidRPr="000A0DD7" w:rsidRDefault="00A47336" w:rsidP="0073060D">
      <w:pPr>
        <w:spacing w:before="240"/>
      </w:pPr>
      <w:r>
        <w:t xml:space="preserve">For PC2 inter-band CA, similar power class issue should also be considered. In our view, either to extend the </w:t>
      </w:r>
      <w:r w:rsidRPr="00A47336">
        <w:rPr>
          <w:b/>
          <w:i/>
        </w:rPr>
        <w:t>powerClassNRPart-r16</w:t>
      </w:r>
      <w:r>
        <w:t xml:space="preserve"> to cover inter-band CA, or to define new UE power class can both solve the issue.</w:t>
      </w: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A47336">
        <w:t xml:space="preserve">some consideration on UE power class issue for NR band in a PC2 CA band combination. </w:t>
      </w:r>
    </w:p>
    <w:p w:rsidR="00A47336" w:rsidRPr="00A47336" w:rsidRDefault="00A47336" w:rsidP="00303E78">
      <w:pPr>
        <w:rPr>
          <w:b/>
          <w:i/>
        </w:rPr>
      </w:pPr>
      <w:r w:rsidRPr="00A47336">
        <w:rPr>
          <w:b/>
          <w:i/>
        </w:rPr>
        <w:t xml:space="preserve">Proposal: </w:t>
      </w:r>
      <w:r>
        <w:rPr>
          <w:b/>
          <w:i/>
        </w:rPr>
        <w:t xml:space="preserve">It is proposed to consider the UE power class issue for PC2 CA band combination similar to that </w:t>
      </w:r>
      <w:r w:rsidR="00227CD5">
        <w:rPr>
          <w:b/>
          <w:i/>
        </w:rPr>
        <w:t xml:space="preserve">for </w:t>
      </w:r>
      <w:proofErr w:type="spellStart"/>
      <w:r w:rsidR="00227CD5">
        <w:rPr>
          <w:b/>
          <w:i/>
        </w:rPr>
        <w:t>PowerClassNRPart</w:t>
      </w:r>
      <w:proofErr w:type="spellEnd"/>
      <w:r w:rsidR="00227CD5">
        <w:rPr>
          <w:b/>
          <w:i/>
        </w:rPr>
        <w:t xml:space="preserve"> for EN-DC.</w:t>
      </w:r>
      <w:bookmarkStart w:id="4" w:name="_GoBack"/>
      <w:bookmarkEnd w:id="4"/>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369EE" w:rsidRPr="005369EE">
        <w:t>RP-202870</w:t>
      </w:r>
      <w:r w:rsidR="005369EE">
        <w:t>,</w:t>
      </w:r>
      <w:r w:rsidR="005369EE" w:rsidRPr="005369EE">
        <w:t xml:space="preserve"> New SID Study on high power UE (power class 2) for one NR FDD band</w:t>
      </w:r>
      <w:r w:rsidR="005369EE">
        <w:t>, China Unicom</w:t>
      </w:r>
    </w:p>
    <w:p w:rsidR="00387681" w:rsidRDefault="00387681" w:rsidP="00F71A33">
      <w:r>
        <w:t xml:space="preserve">[2] </w:t>
      </w:r>
      <w:r w:rsidRPr="00387681">
        <w:t>RP-201389</w:t>
      </w:r>
      <w:r>
        <w:t>,</w:t>
      </w:r>
      <w:r w:rsidRPr="00387681">
        <w:t xml:space="preserve"> LS on introducing UE capability for power class for NR band in MR-DC combination</w:t>
      </w:r>
      <w:r>
        <w:t>, RAN</w:t>
      </w:r>
    </w:p>
    <w:sectPr w:rsidR="0038768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523" w:rsidRDefault="00563523" w:rsidP="0052762B">
      <w:r>
        <w:separator/>
      </w:r>
    </w:p>
  </w:endnote>
  <w:endnote w:type="continuationSeparator" w:id="0">
    <w:p w:rsidR="00563523" w:rsidRDefault="0056352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523" w:rsidRDefault="00563523" w:rsidP="0052762B">
      <w:r>
        <w:separator/>
      </w:r>
    </w:p>
  </w:footnote>
  <w:footnote w:type="continuationSeparator" w:id="0">
    <w:p w:rsidR="00563523" w:rsidRDefault="0056352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1"/>
  </w:num>
  <w:num w:numId="6">
    <w:abstractNumId w:val="37"/>
  </w:num>
  <w:num w:numId="7">
    <w:abstractNumId w:val="18"/>
  </w:num>
  <w:num w:numId="8">
    <w:abstractNumId w:val="30"/>
  </w:num>
  <w:num w:numId="9">
    <w:abstractNumId w:val="40"/>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6"/>
  </w:num>
  <w:num w:numId="25">
    <w:abstractNumId w:val="9"/>
  </w:num>
  <w:num w:numId="26">
    <w:abstractNumId w:val="35"/>
  </w:num>
  <w:num w:numId="27">
    <w:abstractNumId w:val="33"/>
  </w:num>
  <w:num w:numId="28">
    <w:abstractNumId w:val="19"/>
  </w:num>
  <w:num w:numId="29">
    <w:abstractNumId w:val="39"/>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3"/>
  </w:num>
  <w:num w:numId="40">
    <w:abstractNumId w:val="25"/>
  </w:num>
  <w:num w:numId="41">
    <w:abstractNumId w:val="16"/>
  </w:num>
  <w:num w:numId="42">
    <w:abstractNumId w:val="14"/>
  </w:num>
  <w:num w:numId="43">
    <w:abstractNumId w:val="4"/>
  </w:num>
  <w:num w:numId="44">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DD7"/>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CD5"/>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681"/>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4D5"/>
    <w:rsid w:val="00563523"/>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728"/>
    <w:rsid w:val="0072693B"/>
    <w:rsid w:val="00726AC1"/>
    <w:rsid w:val="00726CE6"/>
    <w:rsid w:val="00727AEE"/>
    <w:rsid w:val="0073060D"/>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9E4"/>
    <w:rsid w:val="00791CB5"/>
    <w:rsid w:val="007923BE"/>
    <w:rsid w:val="007923C3"/>
    <w:rsid w:val="00792B3E"/>
    <w:rsid w:val="00792B7C"/>
    <w:rsid w:val="00792C75"/>
    <w:rsid w:val="00793092"/>
    <w:rsid w:val="00793324"/>
    <w:rsid w:val="007937DA"/>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06C"/>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336"/>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B38"/>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A6F8-5E06-417C-BEDF-0029D296C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2021-04-02T19:20:00Z</dcterms:created>
  <dcterms:modified xsi:type="dcterms:W3CDTF">2021-04-02T22:00:00Z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